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453" w:rsidRDefault="00556453" w:rsidP="00556453">
      <w:pPr>
        <w:jc w:val="center"/>
      </w:pPr>
    </w:p>
    <w:p w:rsidR="00556453" w:rsidRDefault="00556453" w:rsidP="00556453">
      <w:pPr>
        <w:jc w:val="center"/>
      </w:pPr>
    </w:p>
    <w:p w:rsidR="00556453" w:rsidRDefault="00556453" w:rsidP="00556453">
      <w:pPr>
        <w:jc w:val="center"/>
      </w:pPr>
    </w:p>
    <w:p w:rsidR="00556453" w:rsidRDefault="00556453" w:rsidP="00556453">
      <w:pPr>
        <w:jc w:val="center"/>
      </w:pPr>
    </w:p>
    <w:p w:rsidR="00556453" w:rsidRPr="00556453" w:rsidRDefault="00556453" w:rsidP="00556453">
      <w:pPr>
        <w:spacing w:after="0" w:line="360" w:lineRule="auto"/>
        <w:jc w:val="center"/>
        <w:rPr>
          <w:rFonts w:ascii="Times New Roman" w:hAnsi="Times New Roman" w:cs="Times New Roman"/>
          <w:sz w:val="24"/>
          <w:szCs w:val="24"/>
        </w:rPr>
      </w:pPr>
      <w:r w:rsidRPr="00556453">
        <w:rPr>
          <w:rFonts w:ascii="Times New Roman" w:hAnsi="Times New Roman" w:cs="Times New Roman"/>
          <w:sz w:val="24"/>
          <w:szCs w:val="24"/>
        </w:rPr>
        <w:t>CODE OF HAMMURABI</w:t>
      </w:r>
    </w:p>
    <w:p w:rsidR="00556453" w:rsidRPr="00556453" w:rsidRDefault="00556453" w:rsidP="00556453">
      <w:pPr>
        <w:spacing w:after="0" w:line="360" w:lineRule="auto"/>
        <w:jc w:val="center"/>
        <w:rPr>
          <w:rFonts w:ascii="Times New Roman" w:hAnsi="Times New Roman" w:cs="Times New Roman"/>
          <w:sz w:val="24"/>
          <w:szCs w:val="24"/>
        </w:rPr>
      </w:pPr>
    </w:p>
    <w:p w:rsidR="00556453" w:rsidRPr="00556453" w:rsidRDefault="00556453" w:rsidP="00556453">
      <w:pPr>
        <w:spacing w:after="0" w:line="360" w:lineRule="auto"/>
        <w:jc w:val="center"/>
        <w:rPr>
          <w:rFonts w:ascii="Times New Roman" w:hAnsi="Times New Roman" w:cs="Times New Roman"/>
          <w:sz w:val="24"/>
          <w:szCs w:val="24"/>
        </w:rPr>
      </w:pPr>
    </w:p>
    <w:p w:rsidR="00556453" w:rsidRPr="00556453" w:rsidRDefault="00556453" w:rsidP="00556453">
      <w:pPr>
        <w:spacing w:after="0" w:line="360" w:lineRule="auto"/>
        <w:jc w:val="center"/>
        <w:rPr>
          <w:rFonts w:ascii="Times New Roman" w:hAnsi="Times New Roman" w:cs="Times New Roman"/>
          <w:sz w:val="24"/>
          <w:szCs w:val="24"/>
        </w:rPr>
      </w:pPr>
    </w:p>
    <w:p w:rsidR="00556453" w:rsidRPr="00556453" w:rsidRDefault="00556453" w:rsidP="00556453">
      <w:pPr>
        <w:spacing w:after="0" w:line="360" w:lineRule="auto"/>
        <w:jc w:val="center"/>
        <w:rPr>
          <w:rFonts w:ascii="Times New Roman" w:hAnsi="Times New Roman" w:cs="Times New Roman"/>
          <w:sz w:val="24"/>
          <w:szCs w:val="24"/>
        </w:rPr>
      </w:pPr>
    </w:p>
    <w:p w:rsidR="00556453" w:rsidRPr="00556453" w:rsidRDefault="00556453" w:rsidP="0055645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Student n</w:t>
      </w:r>
      <w:r w:rsidRPr="00556453">
        <w:rPr>
          <w:rFonts w:ascii="Times New Roman" w:hAnsi="Times New Roman" w:cs="Times New Roman"/>
          <w:sz w:val="24"/>
          <w:szCs w:val="24"/>
        </w:rPr>
        <w:t>ame</w:t>
      </w:r>
    </w:p>
    <w:p w:rsidR="00556453" w:rsidRPr="00556453" w:rsidRDefault="00556453" w:rsidP="00556453">
      <w:pPr>
        <w:spacing w:after="0" w:line="360" w:lineRule="auto"/>
        <w:jc w:val="center"/>
        <w:rPr>
          <w:rFonts w:ascii="Times New Roman" w:hAnsi="Times New Roman" w:cs="Times New Roman"/>
          <w:sz w:val="24"/>
          <w:szCs w:val="24"/>
        </w:rPr>
      </w:pPr>
      <w:r w:rsidRPr="00556453">
        <w:rPr>
          <w:rFonts w:ascii="Times New Roman" w:hAnsi="Times New Roman" w:cs="Times New Roman"/>
          <w:sz w:val="24"/>
          <w:szCs w:val="24"/>
        </w:rPr>
        <w:t>Tutor’s name</w:t>
      </w:r>
    </w:p>
    <w:p w:rsidR="00556453" w:rsidRPr="00556453" w:rsidRDefault="00556453" w:rsidP="00556453">
      <w:pPr>
        <w:spacing w:after="0" w:line="360" w:lineRule="auto"/>
        <w:jc w:val="center"/>
        <w:rPr>
          <w:rFonts w:ascii="Times New Roman" w:hAnsi="Times New Roman" w:cs="Times New Roman"/>
          <w:sz w:val="24"/>
          <w:szCs w:val="24"/>
        </w:rPr>
      </w:pPr>
      <w:r w:rsidRPr="00556453">
        <w:rPr>
          <w:rFonts w:ascii="Times New Roman" w:hAnsi="Times New Roman" w:cs="Times New Roman"/>
          <w:sz w:val="24"/>
          <w:szCs w:val="24"/>
        </w:rPr>
        <w:t>Date</w:t>
      </w:r>
    </w:p>
    <w:p w:rsidR="00556453" w:rsidRPr="00556453" w:rsidRDefault="00556453" w:rsidP="00556453">
      <w:pPr>
        <w:spacing w:after="0" w:line="360" w:lineRule="auto"/>
        <w:jc w:val="center"/>
        <w:rPr>
          <w:rFonts w:ascii="Times New Roman" w:hAnsi="Times New Roman" w:cs="Times New Roman"/>
          <w:sz w:val="24"/>
          <w:szCs w:val="24"/>
        </w:rPr>
      </w:pPr>
      <w:r w:rsidRPr="00556453">
        <w:rPr>
          <w:rFonts w:ascii="Times New Roman" w:hAnsi="Times New Roman" w:cs="Times New Roman"/>
          <w:sz w:val="24"/>
          <w:szCs w:val="24"/>
        </w:rPr>
        <w:t>Year</w:t>
      </w:r>
    </w:p>
    <w:p w:rsidR="00556453" w:rsidRDefault="00556453" w:rsidP="008F524D">
      <w:pPr>
        <w:sectPr w:rsidR="00556453">
          <w:headerReference w:type="default" r:id="rId8"/>
          <w:pgSz w:w="12240" w:h="15840"/>
          <w:pgMar w:top="1440" w:right="1440" w:bottom="1440" w:left="1440" w:header="720" w:footer="720" w:gutter="0"/>
          <w:cols w:space="720"/>
          <w:docGrid w:linePitch="360"/>
        </w:sectPr>
      </w:pPr>
    </w:p>
    <w:p w:rsidR="00556453" w:rsidRPr="00E3744D" w:rsidRDefault="00E3744D" w:rsidP="00556453">
      <w:pPr>
        <w:spacing w:after="0" w:line="360" w:lineRule="auto"/>
        <w:jc w:val="center"/>
        <w:rPr>
          <w:rFonts w:ascii="Times New Roman" w:hAnsi="Times New Roman" w:cs="Times New Roman"/>
          <w:sz w:val="24"/>
          <w:szCs w:val="24"/>
        </w:rPr>
      </w:pPr>
      <w:r w:rsidRPr="00E3744D">
        <w:rPr>
          <w:rFonts w:ascii="Times New Roman" w:hAnsi="Times New Roman" w:cs="Times New Roman"/>
          <w:sz w:val="24"/>
          <w:szCs w:val="24"/>
        </w:rPr>
        <w:lastRenderedPageBreak/>
        <w:t xml:space="preserve">Code </w:t>
      </w:r>
      <w:bookmarkStart w:id="0" w:name="_GoBack"/>
      <w:bookmarkEnd w:id="0"/>
      <w:r w:rsidRPr="00E3744D">
        <w:rPr>
          <w:rFonts w:ascii="Times New Roman" w:hAnsi="Times New Roman" w:cs="Times New Roman"/>
          <w:sz w:val="24"/>
          <w:szCs w:val="24"/>
        </w:rPr>
        <w:t>of Hammurabi</w:t>
      </w:r>
    </w:p>
    <w:p w:rsidR="008F524D" w:rsidRPr="00556453" w:rsidRDefault="008F524D" w:rsidP="00556453">
      <w:pPr>
        <w:spacing w:after="0" w:line="360" w:lineRule="auto"/>
        <w:ind w:firstLine="720"/>
        <w:jc w:val="both"/>
        <w:rPr>
          <w:rFonts w:ascii="Times New Roman" w:hAnsi="Times New Roman" w:cs="Times New Roman"/>
          <w:sz w:val="24"/>
          <w:szCs w:val="24"/>
        </w:rPr>
      </w:pPr>
      <w:r w:rsidRPr="00556453">
        <w:rPr>
          <w:rFonts w:ascii="Times New Roman" w:hAnsi="Times New Roman" w:cs="Times New Roman"/>
          <w:sz w:val="24"/>
          <w:szCs w:val="24"/>
        </w:rPr>
        <w:t>In the ancient world, the Babylonians were known for many things ranging from their beautiful and unique art to breathtaking architectural designs. King Hammurabi was one among the many kings who ruled over Babylonian and made an immense impact.</w:t>
      </w:r>
      <w:bookmarkStart w:id="1" w:name="_Ref63552754"/>
      <w:r w:rsidR="008A20E2" w:rsidRPr="00556453">
        <w:rPr>
          <w:rStyle w:val="FootnoteReference"/>
          <w:rFonts w:ascii="Times New Roman" w:hAnsi="Times New Roman" w:cs="Times New Roman"/>
          <w:sz w:val="24"/>
          <w:szCs w:val="24"/>
        </w:rPr>
        <w:footnoteReference w:id="1"/>
      </w:r>
      <w:bookmarkEnd w:id="1"/>
      <w:r w:rsidRPr="00556453">
        <w:rPr>
          <w:rFonts w:ascii="Times New Roman" w:hAnsi="Times New Roman" w:cs="Times New Roman"/>
          <w:sz w:val="24"/>
          <w:szCs w:val="24"/>
        </w:rPr>
        <w:t xml:space="preserve"> Thus, he is revered as the only powerful and ambitious ruler of the kingdom. As a skilled military leader and administrator, he led the kingdom to many battle victories and made Babylon city grow rapidly. Through the Code of Hammurabi, a set of laws, Hammurabi was able to rule the people of Babylonians for about 40 years. Thus through it, one can deduce a lot concerning the Babylonians. The Code's basic principle was "an eye for an eye." It, therefore, ensured that any individual caught committing a crime would never want to repeat it. The Babylonians were very thankful for the Code because it dealt efficiently with a crime without cruelty. The Code's effectiveness has even spilled to our society today, even though it was almost 4,000 years ago.</w:t>
      </w:r>
    </w:p>
    <w:p w:rsidR="008F524D" w:rsidRPr="00556453" w:rsidRDefault="008F524D" w:rsidP="00556453">
      <w:pPr>
        <w:spacing w:after="0" w:line="360" w:lineRule="auto"/>
        <w:ind w:firstLine="720"/>
        <w:jc w:val="both"/>
        <w:rPr>
          <w:rFonts w:ascii="Times New Roman" w:hAnsi="Times New Roman" w:cs="Times New Roman"/>
          <w:sz w:val="24"/>
          <w:szCs w:val="24"/>
        </w:rPr>
      </w:pPr>
      <w:r w:rsidRPr="00556453">
        <w:rPr>
          <w:rFonts w:ascii="Times New Roman" w:hAnsi="Times New Roman" w:cs="Times New Roman"/>
          <w:sz w:val="24"/>
          <w:szCs w:val="24"/>
        </w:rPr>
        <w:t xml:space="preserve"> From a perspective of an individual raised in contemporary society, the application of the Code would indeed be harsh. For instance, if an accident were to happen today, many people would be punished for the accident. In Ancient Babylon, this kind of punishment ensured quality workmanship. If a roof would fall and kill the house owners due to a carpenter's shoddy work, the concerned carpenter would be put to death</w:t>
      </w:r>
      <w:r w:rsidR="00E3744D">
        <w:rPr>
          <w:rStyle w:val="FootnoteReference"/>
          <w:rFonts w:ascii="Times New Roman" w:hAnsi="Times New Roman" w:cs="Times New Roman"/>
          <w:sz w:val="24"/>
          <w:szCs w:val="24"/>
        </w:rPr>
        <w:footnoteReference w:id="2"/>
      </w:r>
      <w:r w:rsidRPr="00556453">
        <w:rPr>
          <w:rFonts w:ascii="Times New Roman" w:hAnsi="Times New Roman" w:cs="Times New Roman"/>
          <w:sz w:val="24"/>
          <w:szCs w:val="24"/>
        </w:rPr>
        <w:t>. Workers, especially the carpenters, were motivated to perfect their work to avoid any form of uncertainty due to unprecedented events. Though cruel, its efficiency is admired by the current society filled with mediocre professionals and fake products.  As such, this points out the reason why Babylon city had commercial success and became renowned for its marvelous architectural designs.</w:t>
      </w:r>
    </w:p>
    <w:p w:rsidR="008F524D" w:rsidRPr="00556453" w:rsidRDefault="008F524D" w:rsidP="00556453">
      <w:pPr>
        <w:spacing w:after="0" w:line="360" w:lineRule="auto"/>
        <w:ind w:firstLine="720"/>
        <w:jc w:val="both"/>
        <w:rPr>
          <w:rFonts w:ascii="Times New Roman" w:hAnsi="Times New Roman" w:cs="Times New Roman"/>
          <w:sz w:val="24"/>
          <w:szCs w:val="24"/>
        </w:rPr>
      </w:pPr>
      <w:r w:rsidRPr="00556453">
        <w:rPr>
          <w:rFonts w:ascii="Times New Roman" w:hAnsi="Times New Roman" w:cs="Times New Roman"/>
          <w:sz w:val="24"/>
          <w:szCs w:val="24"/>
        </w:rPr>
        <w:t>The basic principle of the Code ensured that no one would be spared of the punishment due to one reason or another. The Code cut through the society; literally, it was a double-edged sword cutting both sides that even the children suffered the same fate. This made the children careful when playing, and as such, this made the streets safe for everyone.</w:t>
      </w:r>
      <w:r w:rsidR="008A20E2" w:rsidRPr="00556453">
        <w:rPr>
          <w:rFonts w:ascii="Times New Roman" w:hAnsi="Times New Roman" w:cs="Times New Roman"/>
          <w:sz w:val="24"/>
          <w:szCs w:val="24"/>
          <w:vertAlign w:val="superscript"/>
        </w:rPr>
        <w:fldChar w:fldCharType="begin"/>
      </w:r>
      <w:r w:rsidR="008A20E2" w:rsidRPr="00556453">
        <w:rPr>
          <w:rFonts w:ascii="Times New Roman" w:hAnsi="Times New Roman" w:cs="Times New Roman"/>
          <w:sz w:val="24"/>
          <w:szCs w:val="24"/>
          <w:vertAlign w:val="superscript"/>
        </w:rPr>
        <w:instrText xml:space="preserve"> NOTEREF _Ref63552754 \h </w:instrText>
      </w:r>
      <w:r w:rsidR="00556453" w:rsidRPr="00556453">
        <w:rPr>
          <w:rFonts w:ascii="Times New Roman" w:hAnsi="Times New Roman" w:cs="Times New Roman"/>
          <w:sz w:val="24"/>
          <w:szCs w:val="24"/>
          <w:vertAlign w:val="superscript"/>
        </w:rPr>
        <w:instrText xml:space="preserve"> \* MERGEFORMAT </w:instrText>
      </w:r>
      <w:r w:rsidR="008A20E2" w:rsidRPr="00556453">
        <w:rPr>
          <w:rFonts w:ascii="Times New Roman" w:hAnsi="Times New Roman" w:cs="Times New Roman"/>
          <w:sz w:val="24"/>
          <w:szCs w:val="24"/>
          <w:vertAlign w:val="superscript"/>
        </w:rPr>
      </w:r>
      <w:r w:rsidR="008A20E2" w:rsidRPr="00556453">
        <w:rPr>
          <w:rFonts w:ascii="Times New Roman" w:hAnsi="Times New Roman" w:cs="Times New Roman"/>
          <w:sz w:val="24"/>
          <w:szCs w:val="24"/>
          <w:vertAlign w:val="superscript"/>
        </w:rPr>
        <w:fldChar w:fldCharType="separate"/>
      </w:r>
      <w:r w:rsidR="008A20E2" w:rsidRPr="00556453">
        <w:rPr>
          <w:rFonts w:ascii="Times New Roman" w:hAnsi="Times New Roman" w:cs="Times New Roman"/>
          <w:sz w:val="24"/>
          <w:szCs w:val="24"/>
          <w:vertAlign w:val="superscript"/>
        </w:rPr>
        <w:t>1</w:t>
      </w:r>
      <w:r w:rsidR="008A20E2" w:rsidRPr="00556453">
        <w:rPr>
          <w:rFonts w:ascii="Times New Roman" w:hAnsi="Times New Roman" w:cs="Times New Roman"/>
          <w:sz w:val="24"/>
          <w:szCs w:val="24"/>
          <w:vertAlign w:val="superscript"/>
        </w:rPr>
        <w:fldChar w:fldCharType="end"/>
      </w:r>
      <w:r w:rsidRPr="00556453">
        <w:rPr>
          <w:rFonts w:ascii="Times New Roman" w:hAnsi="Times New Roman" w:cs="Times New Roman"/>
          <w:sz w:val="24"/>
          <w:szCs w:val="24"/>
        </w:rPr>
        <w:t xml:space="preserve"> The many kidnappings that occur today would not have been tolerated in Babylon. Safe streets imply that people's properties were always safe, and it was hard to hear about cases of stealing. This also shows no </w:t>
      </w:r>
      <w:r w:rsidRPr="00556453">
        <w:rPr>
          <w:rFonts w:ascii="Times New Roman" w:hAnsi="Times New Roman" w:cs="Times New Roman"/>
          <w:sz w:val="24"/>
          <w:szCs w:val="24"/>
        </w:rPr>
        <w:lastRenderedPageBreak/>
        <w:t>corruption was there since everyone was busy minding their business to produce and sell quality products that would not put him in trouble. The empire was too small for any criminal to hide; the soldiers were ever roaming, ready to exercise the king's decree as dictated by the Code.</w:t>
      </w:r>
    </w:p>
    <w:p w:rsidR="008F524D" w:rsidRPr="00556453" w:rsidRDefault="008F524D" w:rsidP="00556453">
      <w:pPr>
        <w:spacing w:after="0" w:line="360" w:lineRule="auto"/>
        <w:ind w:firstLine="720"/>
        <w:jc w:val="both"/>
        <w:rPr>
          <w:rFonts w:ascii="Times New Roman" w:hAnsi="Times New Roman" w:cs="Times New Roman"/>
          <w:sz w:val="24"/>
          <w:szCs w:val="24"/>
        </w:rPr>
      </w:pPr>
      <w:r w:rsidRPr="00556453">
        <w:rPr>
          <w:rFonts w:ascii="Times New Roman" w:hAnsi="Times New Roman" w:cs="Times New Roman"/>
          <w:sz w:val="24"/>
          <w:szCs w:val="24"/>
        </w:rPr>
        <w:t>The Babylonian law was a straightforward law whereby one would not need even a lawyer. The rules were specific and strict, and they covered most of the daily activities and situations. Through the principle, which is the laid foundation to many of the world's legal systems, convicting someone was not that difficult. "If a man destroys the eye of another man, his eye shall be destroyed. If he breaks the bone of another, his bone shall be broken", that is how strict but straightforward the rules were.</w:t>
      </w:r>
      <w:r w:rsidR="00556453" w:rsidRPr="00556453">
        <w:rPr>
          <w:rFonts w:ascii="Times New Roman" w:hAnsi="Times New Roman" w:cs="Times New Roman"/>
          <w:sz w:val="24"/>
          <w:szCs w:val="24"/>
          <w:vertAlign w:val="superscript"/>
        </w:rPr>
        <w:t>1</w:t>
      </w:r>
      <w:r w:rsidRPr="00556453">
        <w:rPr>
          <w:rFonts w:ascii="Times New Roman" w:hAnsi="Times New Roman" w:cs="Times New Roman"/>
          <w:sz w:val="24"/>
          <w:szCs w:val="24"/>
        </w:rPr>
        <w:t xml:space="preserve"> They were implemented by the judges drawn from the society's upper-class strata.   </w:t>
      </w:r>
    </w:p>
    <w:p w:rsidR="008F524D" w:rsidRPr="00556453" w:rsidRDefault="008F524D" w:rsidP="00556453">
      <w:pPr>
        <w:spacing w:after="0" w:line="360" w:lineRule="auto"/>
        <w:ind w:firstLine="720"/>
        <w:jc w:val="both"/>
        <w:rPr>
          <w:rFonts w:ascii="Times New Roman" w:hAnsi="Times New Roman" w:cs="Times New Roman"/>
          <w:sz w:val="24"/>
          <w:szCs w:val="24"/>
        </w:rPr>
      </w:pPr>
      <w:r w:rsidRPr="00556453">
        <w:rPr>
          <w:rFonts w:ascii="Times New Roman" w:hAnsi="Times New Roman" w:cs="Times New Roman"/>
          <w:sz w:val="24"/>
          <w:szCs w:val="24"/>
        </w:rPr>
        <w:t>Marriage and family life in Babylon was respected. Inasmuch as the woman was supposed to submit to the husband's commands, she was not in any way disrespected by society. The women enjoyed many privileges enjoyed by men, and if at all the marriage was not working, the two were free to have a divorce. In the divorce, the man was expected to return the dowry and provide the woman with land to do farming and part of his property to help the woman care for the kids. Marriage was as such taken seriously, unlike today where divorcing someone has no much repercussion.</w:t>
      </w:r>
      <w:r w:rsidR="00E3744D">
        <w:rPr>
          <w:rStyle w:val="FootnoteReference"/>
          <w:rFonts w:ascii="Times New Roman" w:hAnsi="Times New Roman" w:cs="Times New Roman"/>
          <w:sz w:val="24"/>
          <w:szCs w:val="24"/>
        </w:rPr>
        <w:footnoteReference w:id="3"/>
      </w:r>
      <w:r w:rsidRPr="00556453">
        <w:rPr>
          <w:rFonts w:ascii="Times New Roman" w:hAnsi="Times New Roman" w:cs="Times New Roman"/>
          <w:sz w:val="24"/>
          <w:szCs w:val="24"/>
        </w:rPr>
        <w:t xml:space="preserve"> A second wife was allowed when the first wife becomes sick, who he would care for as long as she lives. The women were allowed to collaborate with their husbands in active business.</w:t>
      </w:r>
      <w:r w:rsidR="00556453" w:rsidRPr="00556453">
        <w:rPr>
          <w:rStyle w:val="FootnoteReference"/>
          <w:rFonts w:ascii="Times New Roman" w:hAnsi="Times New Roman" w:cs="Times New Roman"/>
          <w:sz w:val="24"/>
          <w:szCs w:val="24"/>
        </w:rPr>
        <w:footnoteReference w:id="4"/>
      </w:r>
      <w:r w:rsidRPr="00556453">
        <w:rPr>
          <w:rFonts w:ascii="Times New Roman" w:hAnsi="Times New Roman" w:cs="Times New Roman"/>
          <w:sz w:val="24"/>
          <w:szCs w:val="24"/>
        </w:rPr>
        <w:t xml:space="preserve"> In case of the husband's death, the custody of the properties was left to the widow. The children were expected to be respectful to their parents since the law handled any form of disobedience. For instance, "If a son hits his father, his hands shall be cut off" was one among the many laws that had been put in place to tame the behavior of children.</w:t>
      </w:r>
    </w:p>
    <w:p w:rsidR="004007CE" w:rsidRPr="00556453" w:rsidRDefault="008F524D" w:rsidP="00556453">
      <w:pPr>
        <w:spacing w:after="0" w:line="360" w:lineRule="auto"/>
        <w:ind w:firstLine="720"/>
        <w:jc w:val="both"/>
        <w:rPr>
          <w:rFonts w:ascii="Times New Roman" w:hAnsi="Times New Roman" w:cs="Times New Roman"/>
          <w:sz w:val="24"/>
          <w:szCs w:val="24"/>
        </w:rPr>
      </w:pPr>
      <w:r w:rsidRPr="00556453">
        <w:rPr>
          <w:rFonts w:ascii="Times New Roman" w:hAnsi="Times New Roman" w:cs="Times New Roman"/>
          <w:sz w:val="24"/>
          <w:szCs w:val="24"/>
        </w:rPr>
        <w:t xml:space="preserve">In conclusion, the Code of Hammurabi was harsh but efficient in maintaining sanity in the society. With every aspect of how the society was supposed to run covered, one would hardly find a way to commit a crime out of ignorance. Babylon was more of our civilized cities today but with a low crime rate.  </w:t>
      </w:r>
      <w:r w:rsidR="001E5F97" w:rsidRPr="00556453">
        <w:rPr>
          <w:rFonts w:ascii="Times New Roman" w:hAnsi="Times New Roman" w:cs="Times New Roman"/>
          <w:sz w:val="24"/>
          <w:szCs w:val="24"/>
        </w:rPr>
        <w:t xml:space="preserve"> </w:t>
      </w:r>
    </w:p>
    <w:p w:rsidR="00556453" w:rsidRPr="00556453" w:rsidRDefault="00556453" w:rsidP="00556453">
      <w:pPr>
        <w:spacing w:after="0" w:line="36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680231414"/>
        <w:docPartObj>
          <w:docPartGallery w:val="Bibliographies"/>
          <w:docPartUnique/>
        </w:docPartObj>
      </w:sdtPr>
      <w:sdtEndPr/>
      <w:sdtContent>
        <w:p w:rsidR="00596C11" w:rsidRPr="00C9532E" w:rsidRDefault="00596C11" w:rsidP="00E3744D">
          <w:pPr>
            <w:pStyle w:val="Heading1"/>
            <w:spacing w:before="0" w:line="360" w:lineRule="auto"/>
            <w:jc w:val="center"/>
            <w:rPr>
              <w:rFonts w:ascii="Times New Roman" w:hAnsi="Times New Roman" w:cs="Times New Roman"/>
              <w:b/>
              <w:color w:val="auto"/>
              <w:sz w:val="24"/>
              <w:szCs w:val="24"/>
            </w:rPr>
          </w:pPr>
          <w:r w:rsidRPr="00C9532E">
            <w:rPr>
              <w:rFonts w:ascii="Times New Roman" w:hAnsi="Times New Roman" w:cs="Times New Roman"/>
              <w:b/>
              <w:color w:val="auto"/>
              <w:sz w:val="24"/>
              <w:szCs w:val="24"/>
            </w:rPr>
            <w:t>Bibliography</w:t>
          </w:r>
        </w:p>
        <w:sdt>
          <w:sdtPr>
            <w:rPr>
              <w:rFonts w:ascii="Times New Roman" w:hAnsi="Times New Roman" w:cs="Times New Roman"/>
              <w:sz w:val="24"/>
              <w:szCs w:val="24"/>
            </w:rPr>
            <w:id w:val="111145805"/>
            <w:bibliography/>
          </w:sdtPr>
          <w:sdtEndPr/>
          <w:sdtContent>
            <w:p w:rsidR="00556453" w:rsidRDefault="00596C11" w:rsidP="00E3744D">
              <w:pPr>
                <w:pStyle w:val="Bibliography"/>
                <w:spacing w:after="0" w:line="360" w:lineRule="auto"/>
                <w:ind w:left="720" w:hanging="720"/>
                <w:jc w:val="both"/>
                <w:rPr>
                  <w:rFonts w:ascii="Times New Roman" w:hAnsi="Times New Roman" w:cs="Times New Roman"/>
                  <w:noProof/>
                  <w:sz w:val="24"/>
                  <w:szCs w:val="24"/>
                </w:rPr>
              </w:pPr>
              <w:r w:rsidRPr="00556453">
                <w:rPr>
                  <w:rFonts w:ascii="Times New Roman" w:hAnsi="Times New Roman" w:cs="Times New Roman"/>
                  <w:sz w:val="24"/>
                  <w:szCs w:val="24"/>
                </w:rPr>
                <w:fldChar w:fldCharType="begin"/>
              </w:r>
              <w:r w:rsidRPr="00556453">
                <w:rPr>
                  <w:rFonts w:ascii="Times New Roman" w:hAnsi="Times New Roman" w:cs="Times New Roman"/>
                  <w:sz w:val="24"/>
                  <w:szCs w:val="24"/>
                </w:rPr>
                <w:instrText xml:space="preserve"> BIBLIOGRAPHY </w:instrText>
              </w:r>
              <w:r w:rsidRPr="00556453">
                <w:rPr>
                  <w:rFonts w:ascii="Times New Roman" w:hAnsi="Times New Roman" w:cs="Times New Roman"/>
                  <w:sz w:val="24"/>
                  <w:szCs w:val="24"/>
                </w:rPr>
                <w:fldChar w:fldCharType="separate"/>
              </w:r>
              <w:r w:rsidRPr="00556453">
                <w:rPr>
                  <w:rFonts w:ascii="Times New Roman" w:hAnsi="Times New Roman" w:cs="Times New Roman"/>
                  <w:noProof/>
                  <w:sz w:val="24"/>
                  <w:szCs w:val="24"/>
                </w:rPr>
                <w:t xml:space="preserve">Horne, Charles. 1915. </w:t>
              </w:r>
              <w:r w:rsidR="008A20E2" w:rsidRPr="00556453">
                <w:rPr>
                  <w:rFonts w:ascii="Times New Roman" w:hAnsi="Times New Roman" w:cs="Times New Roman"/>
                  <w:noProof/>
                  <w:sz w:val="24"/>
                  <w:szCs w:val="24"/>
                </w:rPr>
                <w:t>"</w:t>
              </w:r>
              <w:r w:rsidRPr="00556453">
                <w:rPr>
                  <w:rFonts w:ascii="Times New Roman" w:hAnsi="Times New Roman" w:cs="Times New Roman"/>
                  <w:iCs/>
                  <w:noProof/>
                  <w:sz w:val="24"/>
                  <w:szCs w:val="24"/>
                </w:rPr>
                <w:t>The Code of Hammurabi: Introduction</w:t>
              </w:r>
              <w:r w:rsidRPr="00556453">
                <w:rPr>
                  <w:rFonts w:ascii="Times New Roman" w:hAnsi="Times New Roman" w:cs="Times New Roman"/>
                  <w:i/>
                  <w:iCs/>
                  <w:noProof/>
                  <w:sz w:val="24"/>
                  <w:szCs w:val="24"/>
                </w:rPr>
                <w:t>.</w:t>
              </w:r>
              <w:r w:rsidR="008A20E2" w:rsidRPr="00556453">
                <w:rPr>
                  <w:rFonts w:ascii="Times New Roman" w:hAnsi="Times New Roman" w:cs="Times New Roman"/>
                  <w:iCs/>
                  <w:noProof/>
                  <w:sz w:val="24"/>
                  <w:szCs w:val="24"/>
                </w:rPr>
                <w:t>"</w:t>
              </w:r>
              <w:r w:rsidRPr="00556453">
                <w:rPr>
                  <w:rFonts w:ascii="Times New Roman" w:hAnsi="Times New Roman" w:cs="Times New Roman"/>
                  <w:noProof/>
                  <w:sz w:val="24"/>
                  <w:szCs w:val="24"/>
                </w:rPr>
                <w:t xml:space="preserve"> Aug 12. Accessed Feb 7, 2021. https://avalon.law.yale.edu/ancient/hammint.asp</w:t>
              </w:r>
              <w:r w:rsidR="008A20E2" w:rsidRPr="00556453">
                <w:rPr>
                  <w:rFonts w:ascii="Times New Roman" w:hAnsi="Times New Roman" w:cs="Times New Roman"/>
                  <w:noProof/>
                  <w:sz w:val="24"/>
                  <w:szCs w:val="24"/>
                </w:rPr>
                <w:t>/</w:t>
              </w:r>
              <w:r w:rsidRPr="00556453">
                <w:rPr>
                  <w:rFonts w:ascii="Times New Roman" w:hAnsi="Times New Roman" w:cs="Times New Roman"/>
                  <w:noProof/>
                  <w:sz w:val="24"/>
                  <w:szCs w:val="24"/>
                </w:rPr>
                <w:t>.</w:t>
              </w:r>
            </w:p>
            <w:p w:rsidR="00596C11" w:rsidRPr="00556453" w:rsidRDefault="00596C11" w:rsidP="00E3744D">
              <w:pPr>
                <w:pStyle w:val="Bibliography"/>
                <w:spacing w:after="0" w:line="360" w:lineRule="auto"/>
                <w:ind w:left="720" w:hanging="720"/>
                <w:jc w:val="both"/>
                <w:rPr>
                  <w:rFonts w:ascii="Times New Roman" w:hAnsi="Times New Roman" w:cs="Times New Roman"/>
                  <w:noProof/>
                  <w:sz w:val="24"/>
                  <w:szCs w:val="24"/>
                </w:rPr>
              </w:pPr>
              <w:r w:rsidRPr="00556453">
                <w:rPr>
                  <w:rFonts w:ascii="Times New Roman" w:hAnsi="Times New Roman" w:cs="Times New Roman"/>
                  <w:noProof/>
                  <w:sz w:val="24"/>
                  <w:szCs w:val="24"/>
                </w:rPr>
                <w:t xml:space="preserve">Slanski, Kathryn E. 2012. "The Law of Hummurabi and Its Audience." </w:t>
              </w:r>
              <w:r w:rsidRPr="00556453">
                <w:rPr>
                  <w:rFonts w:ascii="Times New Roman" w:hAnsi="Times New Roman" w:cs="Times New Roman"/>
                  <w:i/>
                  <w:iCs/>
                  <w:noProof/>
                  <w:sz w:val="24"/>
                  <w:szCs w:val="24"/>
                </w:rPr>
                <w:t>Yale Journal of Law and Humanities</w:t>
              </w:r>
              <w:r w:rsidRPr="00556453">
                <w:rPr>
                  <w:rFonts w:ascii="Times New Roman" w:hAnsi="Times New Roman" w:cs="Times New Roman"/>
                  <w:noProof/>
                  <w:sz w:val="24"/>
                  <w:szCs w:val="24"/>
                </w:rPr>
                <w:t xml:space="preserve"> 24 (1): 1-15.</w:t>
              </w:r>
            </w:p>
            <w:p w:rsidR="00596C11" w:rsidRPr="00556453" w:rsidRDefault="00596C11" w:rsidP="00556453">
              <w:pPr>
                <w:spacing w:after="0" w:line="360" w:lineRule="auto"/>
                <w:jc w:val="both"/>
                <w:rPr>
                  <w:rFonts w:ascii="Times New Roman" w:hAnsi="Times New Roman" w:cs="Times New Roman"/>
                  <w:sz w:val="24"/>
                  <w:szCs w:val="24"/>
                </w:rPr>
              </w:pPr>
              <w:r w:rsidRPr="00556453">
                <w:rPr>
                  <w:rFonts w:ascii="Times New Roman" w:hAnsi="Times New Roman" w:cs="Times New Roman"/>
                  <w:b/>
                  <w:bCs/>
                  <w:noProof/>
                  <w:sz w:val="24"/>
                  <w:szCs w:val="24"/>
                </w:rPr>
                <w:fldChar w:fldCharType="end"/>
              </w:r>
            </w:p>
          </w:sdtContent>
        </w:sdt>
      </w:sdtContent>
    </w:sdt>
    <w:p w:rsidR="00596C11" w:rsidRPr="00556453" w:rsidRDefault="00596C11" w:rsidP="00556453">
      <w:pPr>
        <w:spacing w:after="0" w:line="360" w:lineRule="auto"/>
        <w:jc w:val="both"/>
        <w:rPr>
          <w:rFonts w:ascii="Times New Roman" w:hAnsi="Times New Roman" w:cs="Times New Roman"/>
          <w:sz w:val="24"/>
          <w:szCs w:val="24"/>
        </w:rPr>
      </w:pPr>
    </w:p>
    <w:sectPr w:rsidR="00596C11" w:rsidRPr="00556453" w:rsidSect="00C9532E">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358" w:rsidRDefault="00AA6358" w:rsidP="008F524D">
      <w:pPr>
        <w:spacing w:after="0" w:line="240" w:lineRule="auto"/>
      </w:pPr>
      <w:r>
        <w:separator/>
      </w:r>
    </w:p>
  </w:endnote>
  <w:endnote w:type="continuationSeparator" w:id="0">
    <w:p w:rsidR="00AA6358" w:rsidRDefault="00AA6358" w:rsidP="008F5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358" w:rsidRDefault="00AA6358" w:rsidP="008F524D">
      <w:pPr>
        <w:spacing w:after="0" w:line="240" w:lineRule="auto"/>
      </w:pPr>
      <w:r>
        <w:separator/>
      </w:r>
    </w:p>
  </w:footnote>
  <w:footnote w:type="continuationSeparator" w:id="0">
    <w:p w:rsidR="00AA6358" w:rsidRDefault="00AA6358" w:rsidP="008F524D">
      <w:pPr>
        <w:spacing w:after="0" w:line="240" w:lineRule="auto"/>
      </w:pPr>
      <w:r>
        <w:continuationSeparator/>
      </w:r>
    </w:p>
  </w:footnote>
  <w:footnote w:id="1">
    <w:p w:rsidR="008A20E2" w:rsidRPr="00E3744D" w:rsidRDefault="008A20E2" w:rsidP="008A20E2">
      <w:pPr>
        <w:pStyle w:val="Bibliography"/>
        <w:ind w:left="720" w:hanging="720"/>
        <w:rPr>
          <w:rFonts w:ascii="Times New Roman" w:hAnsi="Times New Roman" w:cs="Times New Roman"/>
          <w:noProof/>
          <w:szCs w:val="24"/>
        </w:rPr>
      </w:pPr>
      <w:r w:rsidRPr="00E3744D">
        <w:rPr>
          <w:rStyle w:val="FootnoteReference"/>
          <w:rFonts w:ascii="Times New Roman" w:hAnsi="Times New Roman" w:cs="Times New Roman"/>
          <w:sz w:val="20"/>
        </w:rPr>
        <w:footnoteRef/>
      </w:r>
      <w:r w:rsidRPr="00E3744D">
        <w:rPr>
          <w:rFonts w:ascii="Times New Roman" w:hAnsi="Times New Roman" w:cs="Times New Roman"/>
          <w:sz w:val="20"/>
        </w:rPr>
        <w:t xml:space="preserve"> </w:t>
      </w:r>
      <w:r w:rsidRPr="00E3744D">
        <w:rPr>
          <w:rFonts w:ascii="Times New Roman" w:hAnsi="Times New Roman" w:cs="Times New Roman"/>
          <w:noProof/>
          <w:sz w:val="20"/>
        </w:rPr>
        <w:t>Horne, Charles. 1915. "</w:t>
      </w:r>
      <w:r w:rsidRPr="00E3744D">
        <w:rPr>
          <w:rFonts w:ascii="Times New Roman" w:hAnsi="Times New Roman" w:cs="Times New Roman"/>
          <w:iCs/>
          <w:noProof/>
          <w:sz w:val="20"/>
        </w:rPr>
        <w:t>The Code of Hammurabi: Introduction</w:t>
      </w:r>
      <w:r w:rsidRPr="00E3744D">
        <w:rPr>
          <w:rFonts w:ascii="Times New Roman" w:hAnsi="Times New Roman" w:cs="Times New Roman"/>
          <w:i/>
          <w:iCs/>
          <w:noProof/>
          <w:sz w:val="20"/>
        </w:rPr>
        <w:t>.</w:t>
      </w:r>
      <w:r w:rsidRPr="00E3744D">
        <w:rPr>
          <w:rFonts w:ascii="Times New Roman" w:hAnsi="Times New Roman" w:cs="Times New Roman"/>
          <w:iCs/>
          <w:noProof/>
          <w:sz w:val="20"/>
        </w:rPr>
        <w:t>"</w:t>
      </w:r>
      <w:r w:rsidRPr="00E3744D">
        <w:rPr>
          <w:rFonts w:ascii="Times New Roman" w:hAnsi="Times New Roman" w:cs="Times New Roman"/>
          <w:noProof/>
          <w:sz w:val="20"/>
        </w:rPr>
        <w:t xml:space="preserve"> Aug 12. Accessed Feb 7, 2021. https://avalon.law.yale.edu/ancient/hammint.asp/.</w:t>
      </w:r>
    </w:p>
    <w:p w:rsidR="008A20E2" w:rsidRPr="00E3744D" w:rsidRDefault="008A20E2">
      <w:pPr>
        <w:pStyle w:val="FootnoteText"/>
        <w:rPr>
          <w:rFonts w:ascii="Times New Roman" w:hAnsi="Times New Roman" w:cs="Times New Roman"/>
          <w:sz w:val="18"/>
        </w:rPr>
      </w:pPr>
    </w:p>
  </w:footnote>
  <w:footnote w:id="2">
    <w:p w:rsidR="00E3744D" w:rsidRDefault="00E3744D">
      <w:pPr>
        <w:pStyle w:val="FootnoteText"/>
      </w:pPr>
      <w:r>
        <w:rPr>
          <w:rStyle w:val="FootnoteReference"/>
        </w:rPr>
        <w:footnoteRef/>
      </w:r>
      <w:r>
        <w:t xml:space="preserve"> </w:t>
      </w:r>
      <w:r w:rsidRPr="00E3744D">
        <w:rPr>
          <w:rFonts w:ascii="Times New Roman" w:hAnsi="Times New Roman" w:cs="Times New Roman"/>
          <w:noProof/>
        </w:rPr>
        <w:t xml:space="preserve">Slanski, Kathryn E. 2012. "The Law of Hummurabi and Its Audience." </w:t>
      </w:r>
      <w:r w:rsidRPr="00E3744D">
        <w:rPr>
          <w:rFonts w:ascii="Times New Roman" w:hAnsi="Times New Roman" w:cs="Times New Roman"/>
          <w:i/>
          <w:iCs/>
          <w:noProof/>
        </w:rPr>
        <w:t>Yale Journal of Law and Humanities</w:t>
      </w:r>
      <w:r w:rsidRPr="00E3744D">
        <w:rPr>
          <w:rFonts w:ascii="Times New Roman" w:hAnsi="Times New Roman" w:cs="Times New Roman"/>
          <w:noProof/>
        </w:rPr>
        <w:t xml:space="preserve"> 24 (1): 1-15</w:t>
      </w:r>
    </w:p>
  </w:footnote>
  <w:footnote w:id="3">
    <w:p w:rsidR="00E3744D" w:rsidRDefault="00E3744D">
      <w:pPr>
        <w:pStyle w:val="FootnoteText"/>
      </w:pPr>
      <w:r>
        <w:rPr>
          <w:rStyle w:val="FootnoteReference"/>
        </w:rPr>
        <w:footnoteRef/>
      </w:r>
      <w:r>
        <w:t xml:space="preserve"> </w:t>
      </w:r>
      <w:r w:rsidRPr="00E3744D">
        <w:rPr>
          <w:rFonts w:ascii="Times New Roman" w:hAnsi="Times New Roman" w:cs="Times New Roman"/>
          <w:noProof/>
        </w:rPr>
        <w:t>Horne, Charles. 1915. "</w:t>
      </w:r>
      <w:r w:rsidRPr="00E3744D">
        <w:rPr>
          <w:rFonts w:ascii="Times New Roman" w:hAnsi="Times New Roman" w:cs="Times New Roman"/>
          <w:iCs/>
          <w:noProof/>
        </w:rPr>
        <w:t>The Code of Hammurabi: Introduction</w:t>
      </w:r>
      <w:r w:rsidRPr="00E3744D">
        <w:rPr>
          <w:rFonts w:ascii="Times New Roman" w:hAnsi="Times New Roman" w:cs="Times New Roman"/>
          <w:i/>
          <w:iCs/>
          <w:noProof/>
        </w:rPr>
        <w:t>.</w:t>
      </w:r>
      <w:r w:rsidRPr="00E3744D">
        <w:rPr>
          <w:rFonts w:ascii="Times New Roman" w:hAnsi="Times New Roman" w:cs="Times New Roman"/>
          <w:iCs/>
          <w:noProof/>
        </w:rPr>
        <w:t>"</w:t>
      </w:r>
      <w:r w:rsidRPr="00E3744D">
        <w:rPr>
          <w:rFonts w:ascii="Times New Roman" w:hAnsi="Times New Roman" w:cs="Times New Roman"/>
          <w:noProof/>
        </w:rPr>
        <w:t xml:space="preserve"> Aug 12. Accessed Feb 7, 2021. https://avalon.law.yale.edu/ancient/hammint.asp/.</w:t>
      </w:r>
    </w:p>
  </w:footnote>
  <w:footnote w:id="4">
    <w:p w:rsidR="00556453" w:rsidRPr="00E3744D" w:rsidRDefault="00556453" w:rsidP="00556453">
      <w:pPr>
        <w:pStyle w:val="Bibliography"/>
        <w:ind w:left="720" w:hanging="720"/>
        <w:rPr>
          <w:rFonts w:ascii="Times New Roman" w:hAnsi="Times New Roman" w:cs="Times New Roman"/>
          <w:noProof/>
          <w:sz w:val="20"/>
        </w:rPr>
      </w:pPr>
      <w:r w:rsidRPr="00E3744D">
        <w:rPr>
          <w:rStyle w:val="FootnoteReference"/>
          <w:rFonts w:ascii="Times New Roman" w:hAnsi="Times New Roman" w:cs="Times New Roman"/>
          <w:sz w:val="20"/>
        </w:rPr>
        <w:footnoteRef/>
      </w:r>
      <w:r w:rsidRPr="00E3744D">
        <w:rPr>
          <w:rFonts w:ascii="Times New Roman" w:hAnsi="Times New Roman" w:cs="Times New Roman"/>
          <w:sz w:val="20"/>
        </w:rPr>
        <w:t xml:space="preserve"> </w:t>
      </w:r>
      <w:r w:rsidRPr="00E3744D">
        <w:rPr>
          <w:rFonts w:ascii="Times New Roman" w:hAnsi="Times New Roman" w:cs="Times New Roman"/>
          <w:noProof/>
          <w:sz w:val="20"/>
        </w:rPr>
        <w:t xml:space="preserve">Slanski, Kathryn E. 2012. "The Law of Hummurabi and Its Audience." </w:t>
      </w:r>
      <w:r w:rsidRPr="00E3744D">
        <w:rPr>
          <w:rFonts w:ascii="Times New Roman" w:hAnsi="Times New Roman" w:cs="Times New Roman"/>
          <w:i/>
          <w:iCs/>
          <w:noProof/>
          <w:sz w:val="20"/>
        </w:rPr>
        <w:t>Yale Journal of Law and Humanities</w:t>
      </w:r>
      <w:r w:rsidRPr="00E3744D">
        <w:rPr>
          <w:rFonts w:ascii="Times New Roman" w:hAnsi="Times New Roman" w:cs="Times New Roman"/>
          <w:noProof/>
          <w:sz w:val="20"/>
        </w:rPr>
        <w:t xml:space="preserve"> 24 (1): 1-15.</w:t>
      </w:r>
    </w:p>
    <w:p w:rsidR="00556453" w:rsidRPr="00E3744D" w:rsidRDefault="00556453">
      <w:pPr>
        <w:pStyle w:val="FootnoteText"/>
        <w:rPr>
          <w:rFonts w:ascii="Times New Roman" w:hAnsi="Times New Roman" w:cs="Times New Roman"/>
          <w:sz w:val="18"/>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3567717"/>
      <w:docPartObj>
        <w:docPartGallery w:val="Page Numbers (Top of Page)"/>
        <w:docPartUnique/>
      </w:docPartObj>
    </w:sdtPr>
    <w:sdtEndPr>
      <w:rPr>
        <w:noProof/>
      </w:rPr>
    </w:sdtEndPr>
    <w:sdtContent>
      <w:p w:rsidR="00C9532E" w:rsidRDefault="00C9532E">
        <w:pPr>
          <w:pStyle w:val="Header"/>
          <w:jc w:val="right"/>
        </w:pPr>
        <w:r>
          <w:fldChar w:fldCharType="begin"/>
        </w:r>
        <w:r>
          <w:instrText xml:space="preserve"> PAGE   \* MERGEFORMAT </w:instrText>
        </w:r>
        <w:r>
          <w:fldChar w:fldCharType="separate"/>
        </w:r>
        <w:r w:rsidR="00E3744D">
          <w:rPr>
            <w:noProof/>
          </w:rPr>
          <w:t>1</w:t>
        </w:r>
        <w:r>
          <w:rPr>
            <w:noProof/>
          </w:rPr>
          <w:fldChar w:fldCharType="end"/>
        </w:r>
      </w:p>
    </w:sdtContent>
  </w:sdt>
  <w:p w:rsidR="00C9532E" w:rsidRDefault="00C9532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BE0D68"/>
    <w:multiLevelType w:val="hybridMultilevel"/>
    <w:tmpl w:val="61EC0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B33"/>
    <w:rsid w:val="001E5F97"/>
    <w:rsid w:val="0026144F"/>
    <w:rsid w:val="00364275"/>
    <w:rsid w:val="003651CB"/>
    <w:rsid w:val="004007CE"/>
    <w:rsid w:val="00556453"/>
    <w:rsid w:val="00596C11"/>
    <w:rsid w:val="005A6F8E"/>
    <w:rsid w:val="005F5B38"/>
    <w:rsid w:val="006556B5"/>
    <w:rsid w:val="006C1599"/>
    <w:rsid w:val="008A20E2"/>
    <w:rsid w:val="008F524D"/>
    <w:rsid w:val="00996B33"/>
    <w:rsid w:val="009D5D3E"/>
    <w:rsid w:val="00AA6358"/>
    <w:rsid w:val="00B73278"/>
    <w:rsid w:val="00C46B17"/>
    <w:rsid w:val="00C9532E"/>
    <w:rsid w:val="00D11407"/>
    <w:rsid w:val="00D21DF2"/>
    <w:rsid w:val="00DE7031"/>
    <w:rsid w:val="00E3744D"/>
    <w:rsid w:val="00F067C1"/>
    <w:rsid w:val="00F5683F"/>
    <w:rsid w:val="00FB040D"/>
    <w:rsid w:val="00FD2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5AAF4"/>
  <w15:chartTrackingRefBased/>
  <w15:docId w15:val="{A8D00569-7C31-4CC1-9A22-E99F9CB3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96C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F52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524D"/>
    <w:rPr>
      <w:sz w:val="20"/>
      <w:szCs w:val="20"/>
    </w:rPr>
  </w:style>
  <w:style w:type="character" w:styleId="FootnoteReference">
    <w:name w:val="footnote reference"/>
    <w:basedOn w:val="DefaultParagraphFont"/>
    <w:uiPriority w:val="99"/>
    <w:semiHidden/>
    <w:unhideWhenUsed/>
    <w:rsid w:val="008F524D"/>
    <w:rPr>
      <w:vertAlign w:val="superscript"/>
    </w:rPr>
  </w:style>
  <w:style w:type="character" w:customStyle="1" w:styleId="Heading1Char">
    <w:name w:val="Heading 1 Char"/>
    <w:basedOn w:val="DefaultParagraphFont"/>
    <w:link w:val="Heading1"/>
    <w:uiPriority w:val="9"/>
    <w:rsid w:val="00596C1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96C11"/>
  </w:style>
  <w:style w:type="paragraph" w:styleId="Header">
    <w:name w:val="header"/>
    <w:basedOn w:val="Normal"/>
    <w:link w:val="HeaderChar"/>
    <w:uiPriority w:val="99"/>
    <w:unhideWhenUsed/>
    <w:rsid w:val="00C95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32E"/>
  </w:style>
  <w:style w:type="paragraph" w:styleId="Footer">
    <w:name w:val="footer"/>
    <w:basedOn w:val="Normal"/>
    <w:link w:val="FooterChar"/>
    <w:uiPriority w:val="99"/>
    <w:unhideWhenUsed/>
    <w:rsid w:val="00C95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4276052">
      <w:bodyDiv w:val="1"/>
      <w:marLeft w:val="0"/>
      <w:marRight w:val="0"/>
      <w:marTop w:val="0"/>
      <w:marBottom w:val="0"/>
      <w:divBdr>
        <w:top w:val="none" w:sz="0" w:space="0" w:color="auto"/>
        <w:left w:val="none" w:sz="0" w:space="0" w:color="auto"/>
        <w:bottom w:val="none" w:sz="0" w:space="0" w:color="auto"/>
        <w:right w:val="none" w:sz="0" w:space="0" w:color="auto"/>
      </w:divBdr>
    </w:div>
    <w:div w:id="1904367767">
      <w:bodyDiv w:val="1"/>
      <w:marLeft w:val="0"/>
      <w:marRight w:val="0"/>
      <w:marTop w:val="0"/>
      <w:marBottom w:val="0"/>
      <w:divBdr>
        <w:top w:val="none" w:sz="0" w:space="0" w:color="auto"/>
        <w:left w:val="none" w:sz="0" w:space="0" w:color="auto"/>
        <w:bottom w:val="none" w:sz="0" w:space="0" w:color="auto"/>
        <w:right w:val="none" w:sz="0" w:space="0" w:color="auto"/>
      </w:divBdr>
    </w:div>
    <w:div w:id="210976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Sla12</b:Tag>
    <b:SourceType>JournalArticle</b:SourceType>
    <b:Guid>{92E8D477-5B92-4BC8-AB51-6F8AB69A5584}</b:Guid>
    <b:Author>
      <b:Author>
        <b:NameList>
          <b:Person>
            <b:Last>Slanski</b:Last>
            <b:First>Kathryn</b:First>
            <b:Middle>E</b:Middle>
          </b:Person>
        </b:NameList>
      </b:Author>
    </b:Author>
    <b:Title>The Law of Hummurabi and Its Audience</b:Title>
    <b:JournalName>Yale Journal of Law and Humanities</b:JournalName>
    <b:Year>2012</b:Year>
    <b:Pages>1-15</b:Pages>
    <b:Volume>24</b:Volume>
    <b:Issue>1</b:Issue>
    <b:RefOrder>2</b:RefOrder>
  </b:Source>
  <b:Source>
    <b:Tag>Hor15</b:Tag>
    <b:SourceType>InternetSite</b:SourceType>
    <b:Guid>{68F0CBDD-3D56-430D-A914-EA6149EAFE26}</b:Guid>
    <b:Author>
      <b:Author>
        <b:NameList>
          <b:Person>
            <b:Last>Horne</b:Last>
            <b:First>Charles</b:First>
          </b:Person>
        </b:NameList>
      </b:Author>
    </b:Author>
    <b:Title>The Code of Hammurabi: Introduction</b:Title>
    <b:Year>1915</b:Year>
    <b:Month>Aug</b:Month>
    <b:Day>12</b:Day>
    <b:YearAccessed>2021</b:YearAccessed>
    <b:MonthAccessed>Feb</b:MonthAccessed>
    <b:DayAccessed>7</b:DayAccessed>
    <b:URL>https://avalon.law.yale.edu/ancient/hammint.asp</b:URL>
    <b:RefOrder>1</b:RefOrder>
  </b:Source>
</b:Sources>
</file>

<file path=customXml/itemProps1.xml><?xml version="1.0" encoding="utf-8"?>
<ds:datastoreItem xmlns:ds="http://schemas.openxmlformats.org/officeDocument/2006/customXml" ds:itemID="{4519C43B-C05D-44A5-8D4C-286A2CA23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2021-02-07T03:28:00Z</dcterms:created>
  <dcterms:modified xsi:type="dcterms:W3CDTF">2021-02-07T03:28:00Z</dcterms:modified>
</cp:coreProperties>
</file>